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sdt>
      <w:sdtPr>
        <w:rPr>
          <w:rFonts w:cs="Times New Roman"/>
          <w:kern w:val="0"/>
          <w:sz w:val="22"/>
        </w:rPr>
        <w:id w:val="200373877"/>
        <w:docPartObj>
          <w:docPartGallery w:val="Table of Contents"/>
          <w:docPartUnique/>
        </w:docPartObj>
      </w:sdtPr>
      <w:sdtEndPr>
        <w:rPr>
          <w:rFonts w:ascii="楷体" w:hAnsi="楷体" w:eastAsia="楷体" w:cs="Times New Roman"/>
          <w:kern w:val="0"/>
          <w:sz w:val="22"/>
          <w:lang w:val="zh-CN"/>
        </w:rPr>
      </w:sdtEndPr>
      <w:sdtContent>
        <w:p>
          <w:pPr>
            <w:jc w:val="center"/>
          </w:pPr>
        </w:p>
        <w:p>
          <w:pPr>
            <w:jc w:val="center"/>
            <w:rPr>
              <w:rFonts w:ascii="黑体" w:hAnsi="黑体" w:eastAsia="黑体" w:cs="黑体"/>
              <w:b/>
              <w:bCs/>
              <w:sz w:val="36"/>
              <w:szCs w:val="36"/>
            </w:rPr>
          </w:pPr>
          <w:r>
            <w:rPr>
              <w:rFonts w:hint="eastAsia" w:ascii="黑体" w:hAnsi="黑体" w:eastAsia="黑体" w:cs="黑体"/>
              <w:b/>
              <w:bCs/>
              <w:sz w:val="36"/>
              <w:szCs w:val="36"/>
            </w:rPr>
            <w:t>工业和信息通信业管理会计案例目录（上市公司部分）</w:t>
          </w:r>
        </w:p>
        <w:p>
          <w:pPr>
            <w:pStyle w:val="6"/>
          </w:pPr>
        </w:p>
        <w:p>
          <w:pPr>
            <w:pStyle w:val="6"/>
            <w:spacing w:line="240" w:lineRule="auto"/>
          </w:pPr>
          <w:r>
            <w:rPr>
              <w:rFonts w:hint="eastAsia"/>
              <w:lang w:val="en-US" w:eastAsia="zh-CN"/>
            </w:rPr>
            <w:t>1</w:t>
          </w:r>
          <w:r>
            <w:rPr>
              <w:rFonts w:hint="eastAsia"/>
            </w:rPr>
            <w:t>以“三化（SRV）”成本法推进作业成本在制造企业应用</w:t>
          </w:r>
          <w:r>
            <w:ptab w:relativeTo="margin" w:alignment="right" w:leader="dot"/>
          </w:r>
          <w:r>
            <w:rPr>
              <w:rFonts w:hint="eastAsia" w:ascii="楷体" w:hAnsi="楷体" w:eastAsia="楷体"/>
            </w:rPr>
            <w:t>中国宝武钢铁集团有限公司</w:t>
          </w:r>
        </w:p>
        <w:p>
          <w:pPr>
            <w:spacing w:after="100"/>
            <w:rPr>
              <w:szCs w:val="21"/>
            </w:rPr>
          </w:pPr>
          <w:r>
            <w:rPr>
              <w:rFonts w:hint="eastAsia" w:cs="Times New Roman"/>
              <w:kern w:val="0"/>
              <w:sz w:val="22"/>
              <w:lang w:val="en-US" w:eastAsia="zh-CN"/>
            </w:rPr>
            <w:t>2</w:t>
          </w:r>
          <w:r>
            <w:rPr>
              <w:rFonts w:hint="eastAsia" w:cs="Times New Roman"/>
              <w:kern w:val="0"/>
              <w:sz w:val="22"/>
            </w:rPr>
            <w:t>基于智能化精准制造的高效率低成本管理实践</w:t>
          </w:r>
          <w:r>
            <w:ptab w:relativeTo="margin" w:alignment="right" w:leader="dot"/>
          </w:r>
          <w:r>
            <w:rPr>
              <w:rFonts w:hint="eastAsia" w:ascii="楷体" w:hAnsi="楷体" w:eastAsia="楷体" w:cs="Times New Roman"/>
              <w:kern w:val="0"/>
              <w:sz w:val="22"/>
            </w:rPr>
            <w:t>南京钢铁股份有限公司</w:t>
          </w:r>
        </w:p>
        <w:p>
          <w:pPr>
            <w:spacing w:after="100"/>
            <w:rPr>
              <w:szCs w:val="21"/>
            </w:rPr>
          </w:pPr>
          <w:r>
            <w:rPr>
              <w:rFonts w:hint="eastAsia" w:cs="Times New Roman"/>
              <w:kern w:val="0"/>
              <w:sz w:val="22"/>
              <w:lang w:val="en-US" w:eastAsia="zh-CN"/>
            </w:rPr>
            <w:t>3</w:t>
          </w:r>
          <w:r>
            <w:rPr>
              <w:rFonts w:hint="eastAsia" w:cs="Times New Roman"/>
              <w:kern w:val="0"/>
              <w:sz w:val="22"/>
            </w:rPr>
            <w:t>推行“单元成本分析法”的管理会计应用</w:t>
          </w:r>
          <w:r>
            <w:ptab w:relativeTo="margin" w:alignment="right" w:leader="dot"/>
          </w:r>
          <w:r>
            <w:rPr>
              <w:rFonts w:hint="eastAsia" w:ascii="楷体" w:hAnsi="楷体" w:eastAsia="楷体" w:cs="Times New Roman"/>
              <w:kern w:val="0"/>
              <w:sz w:val="22"/>
            </w:rPr>
            <w:t>白银有色集团股份有限公司</w:t>
          </w:r>
        </w:p>
        <w:p>
          <w:pPr>
            <w:spacing w:after="100"/>
            <w:rPr>
              <w:szCs w:val="21"/>
            </w:rPr>
          </w:pPr>
          <w:r>
            <w:rPr>
              <w:rFonts w:hint="eastAsia" w:cs="Times New Roman"/>
              <w:kern w:val="0"/>
              <w:sz w:val="22"/>
              <w:lang w:val="en-US" w:eastAsia="zh-CN"/>
            </w:rPr>
            <w:t>4</w:t>
          </w:r>
          <w:r>
            <w:rPr>
              <w:rFonts w:hint="eastAsia" w:cs="Times New Roman"/>
              <w:kern w:val="0"/>
              <w:sz w:val="22"/>
            </w:rPr>
            <w:t>集团型企业“343”经营模式下的全面预算管理体系</w:t>
          </w:r>
          <w:r>
            <w:ptab w:relativeTo="margin" w:alignment="right" w:leader="dot"/>
          </w:r>
          <w:r>
            <w:rPr>
              <w:rFonts w:hint="eastAsia" w:ascii="楷体" w:hAnsi="楷体" w:eastAsia="楷体" w:cs="Times New Roman"/>
              <w:kern w:val="0"/>
              <w:sz w:val="22"/>
            </w:rPr>
            <w:t>徐工集团工程机械股份有限公司</w:t>
          </w:r>
        </w:p>
        <w:p>
          <w:pPr>
            <w:spacing w:after="100"/>
            <w:rPr>
              <w:rFonts w:eastAsia="楷体"/>
            </w:rPr>
          </w:pPr>
          <w:r>
            <w:rPr>
              <w:rFonts w:hint="eastAsia" w:cs="Times New Roman"/>
              <w:kern w:val="0"/>
              <w:sz w:val="22"/>
              <w:lang w:val="en-US" w:eastAsia="zh-CN"/>
            </w:rPr>
            <w:t>5</w:t>
          </w:r>
          <w:r>
            <w:rPr>
              <w:rFonts w:hint="eastAsia" w:cs="Times New Roman"/>
              <w:kern w:val="0"/>
              <w:sz w:val="22"/>
            </w:rPr>
            <w:t>业财融合--价值链成本管理实践</w:t>
          </w:r>
          <w:r>
            <w:ptab w:relativeTo="margin" w:alignment="right" w:leader="dot"/>
          </w:r>
          <w:r>
            <w:rPr>
              <w:rFonts w:hint="eastAsia" w:ascii="楷体" w:hAnsi="楷体" w:eastAsia="楷体" w:cs="Times New Roman"/>
              <w:kern w:val="0"/>
              <w:sz w:val="22"/>
            </w:rPr>
            <w:t>珠海格力电器股份有限公司</w:t>
          </w:r>
        </w:p>
        <w:p>
          <w:pPr>
            <w:pStyle w:val="6"/>
            <w:spacing w:line="240" w:lineRule="auto"/>
            <w:rPr>
              <w:rFonts w:ascii="楷体" w:hAnsi="楷体" w:eastAsia="楷体"/>
            </w:rPr>
          </w:pPr>
          <w:r>
            <w:rPr>
              <w:rFonts w:hint="eastAsia"/>
              <w:lang w:val="en-US" w:eastAsia="zh-CN"/>
            </w:rPr>
            <w:t>6</w:t>
          </w:r>
          <w:r>
            <w:rPr>
              <w:rFonts w:hint="eastAsia"/>
            </w:rPr>
            <w:t>业财融合促价值提升--产业金融和全价值链成本管理创新实践</w:t>
          </w:r>
          <w:r>
            <w:ptab w:relativeTo="margin" w:alignment="right" w:leader="dot"/>
          </w:r>
          <w:r>
            <w:rPr>
              <w:rFonts w:ascii="楷体" w:hAnsi="楷体" w:eastAsia="楷体"/>
            </w:rPr>
            <w:t>TCL</w:t>
          </w:r>
          <w:r>
            <w:rPr>
              <w:rFonts w:hint="eastAsia" w:ascii="楷体" w:hAnsi="楷体" w:eastAsia="楷体"/>
            </w:rPr>
            <w:t>集团股份有限公司</w:t>
          </w:r>
        </w:p>
        <w:p>
          <w:pPr>
            <w:pStyle w:val="6"/>
            <w:spacing w:line="240" w:lineRule="auto"/>
          </w:pPr>
          <w:r>
            <w:rPr>
              <w:rFonts w:hint="eastAsia"/>
              <w:lang w:val="en-US" w:eastAsia="zh-CN"/>
            </w:rPr>
            <w:t>7</w:t>
          </w:r>
          <w:r>
            <w:rPr>
              <w:rFonts w:hint="eastAsia"/>
            </w:rPr>
            <w:t>业财融合助力美的经营转型-战略地图、价值链管理、成本管理</w:t>
          </w:r>
          <w:r>
            <w:rPr>
              <w:rFonts w:hint="eastAsia" w:ascii="楷体" w:hAnsi="楷体" w:eastAsia="楷体"/>
            </w:rPr>
            <w:t>美的集团股份有限公司</w:t>
          </w:r>
        </w:p>
        <w:p>
          <w:pPr>
            <w:pStyle w:val="6"/>
            <w:spacing w:line="240" w:lineRule="auto"/>
            <w:rPr>
              <w:rFonts w:ascii="楷体" w:hAnsi="楷体" w:eastAsia="楷体"/>
            </w:rPr>
          </w:pPr>
          <w:r>
            <w:rPr>
              <w:rFonts w:hint="eastAsia"/>
              <w:lang w:val="en-US" w:eastAsia="zh-CN"/>
            </w:rPr>
            <w:t>8</w:t>
          </w:r>
          <w:r>
            <w:rPr>
              <w:rFonts w:hint="eastAsia"/>
            </w:rPr>
            <w:t>“IT+共享”促进业财融合与价值创造</w:t>
          </w:r>
          <w:r>
            <w:ptab w:relativeTo="margin" w:alignment="right" w:leader="dot"/>
          </w:r>
          <w:r>
            <w:rPr>
              <w:rFonts w:hint="eastAsia" w:ascii="楷体" w:hAnsi="楷体" w:eastAsia="楷体"/>
            </w:rPr>
            <w:t>四川长虹电子控股集团有限公司</w:t>
          </w:r>
        </w:p>
        <w:p>
          <w:pPr>
            <w:pStyle w:val="6"/>
            <w:spacing w:line="240" w:lineRule="auto"/>
          </w:pPr>
          <w:r>
            <w:rPr>
              <w:rFonts w:hint="eastAsia"/>
              <w:lang w:val="en-US" w:eastAsia="zh-CN"/>
            </w:rPr>
            <w:t>9</w:t>
          </w:r>
          <w:r>
            <w:rPr>
              <w:rFonts w:hint="eastAsia"/>
            </w:rPr>
            <w:t>经营会计报表助力业绩提升业务财务融合</w:t>
          </w:r>
          <w:r>
            <w:ptab w:relativeTo="margin" w:alignment="right" w:leader="dot"/>
          </w:r>
          <w:r>
            <w:rPr>
              <w:rFonts w:hint="eastAsia" w:ascii="楷体" w:hAnsi="楷体" w:eastAsia="楷体"/>
            </w:rPr>
            <w:t>东阿阿胶股份有限公司</w:t>
          </w:r>
        </w:p>
        <w:p>
          <w:pPr>
            <w:pStyle w:val="6"/>
            <w:spacing w:line="240" w:lineRule="auto"/>
          </w:pPr>
          <w:r>
            <w:rPr>
              <w:rFonts w:hint="eastAsia"/>
              <w:lang w:val="en-US" w:eastAsia="zh-CN"/>
            </w:rPr>
            <w:t>10</w:t>
          </w:r>
          <w:r>
            <w:rPr>
              <w:rFonts w:hint="eastAsia"/>
            </w:rPr>
            <w:t>业财融合下的三棵树财务战略转型</w:t>
          </w:r>
          <w:r>
            <w:ptab w:relativeTo="margin" w:alignment="right" w:leader="dot"/>
          </w:r>
          <w:r>
            <w:rPr>
              <w:rFonts w:hint="eastAsia" w:ascii="楷体" w:hAnsi="楷体" w:eastAsia="楷体"/>
            </w:rPr>
            <w:t>三棵树涂料股份有限公司</w:t>
          </w:r>
        </w:p>
        <w:p>
          <w:pPr>
            <w:pStyle w:val="6"/>
            <w:spacing w:line="240" w:lineRule="auto"/>
          </w:pPr>
          <w:r>
            <w:rPr>
              <w:rFonts w:hint="eastAsia"/>
              <w:lang w:val="en-US" w:eastAsia="zh-CN"/>
            </w:rPr>
            <w:t>11</w:t>
          </w:r>
          <w:r>
            <w:rPr>
              <w:rFonts w:hint="eastAsia"/>
            </w:rPr>
            <w:t>基于业务价值链的管理会计应用</w:t>
          </w:r>
          <w:r>
            <w:ptab w:relativeTo="margin" w:alignment="right" w:leader="dot"/>
          </w:r>
          <w:r>
            <w:rPr>
              <w:rFonts w:hint="eastAsia" w:ascii="楷体" w:hAnsi="楷体" w:eastAsia="楷体"/>
            </w:rPr>
            <w:t>浙江红蜻蜓鞋业股份有限公司</w:t>
          </w:r>
        </w:p>
        <w:p>
          <w:pPr>
            <w:pStyle w:val="6"/>
            <w:spacing w:line="240" w:lineRule="auto"/>
          </w:pPr>
          <w:r>
            <w:rPr>
              <w:rFonts w:hint="eastAsia"/>
              <w:lang w:val="en-US" w:eastAsia="zh-CN"/>
            </w:rPr>
            <w:t>12</w:t>
          </w:r>
          <w:r>
            <w:rPr>
              <w:rFonts w:hint="eastAsia"/>
            </w:rPr>
            <w:t>业财融合下的财务共享服务建设实践</w:t>
          </w:r>
          <w:r>
            <w:ptab w:relativeTo="margin" w:alignment="right" w:leader="dot"/>
          </w:r>
          <w:r>
            <w:rPr>
              <w:rFonts w:hint="eastAsia" w:ascii="楷体" w:hAnsi="楷体" w:eastAsia="楷体"/>
            </w:rPr>
            <w:t>远光软件股份有限公司</w:t>
          </w:r>
        </w:p>
        <w:p>
          <w:pPr>
            <w:pStyle w:val="6"/>
            <w:spacing w:line="240" w:lineRule="auto"/>
            <w:rPr>
              <w:rFonts w:ascii="楷体" w:hAnsi="楷体" w:eastAsia="楷体"/>
            </w:rPr>
          </w:pPr>
          <w:r>
            <w:rPr>
              <w:rFonts w:hint="eastAsia"/>
              <w:lang w:val="en-US" w:eastAsia="zh-CN"/>
            </w:rPr>
            <w:t>13</w:t>
          </w:r>
          <w:r>
            <w:rPr>
              <w:rFonts w:hint="eastAsia"/>
            </w:rPr>
            <w:t>打造云生态财务共享，把握云时代腾飞机遇</w:t>
          </w:r>
          <w:r>
            <w:ptab w:relativeTo="margin" w:alignment="right" w:leader="dot"/>
          </w:r>
          <w:r>
            <w:rPr>
              <w:rFonts w:hint="eastAsia" w:ascii="楷体" w:hAnsi="楷体" w:eastAsia="楷体"/>
            </w:rPr>
            <w:t>浙江大华技术股份有限公司</w:t>
          </w:r>
        </w:p>
        <w:p>
          <w:pPr>
            <w:spacing w:after="100"/>
            <w:rPr>
              <w:szCs w:val="21"/>
            </w:rPr>
          </w:pPr>
          <w:r>
            <w:rPr>
              <w:rFonts w:hint="eastAsia" w:cs="Times New Roman"/>
              <w:kern w:val="0"/>
              <w:sz w:val="22"/>
              <w:lang w:val="en-US" w:eastAsia="zh-CN"/>
            </w:rPr>
            <w:t>14</w:t>
          </w:r>
          <w:r>
            <w:rPr>
              <w:rFonts w:hint="eastAsia" w:cs="Times New Roman"/>
              <w:kern w:val="0"/>
              <w:sz w:val="22"/>
            </w:rPr>
            <w:t>管理会计助力东软集团业财融合</w:t>
          </w:r>
          <w:r>
            <w:ptab w:relativeTo="margin" w:alignment="right" w:leader="dot"/>
          </w:r>
          <w:r>
            <w:rPr>
              <w:rFonts w:hint="eastAsia" w:ascii="楷体" w:hAnsi="楷体" w:eastAsia="楷体" w:cs="Times New Roman"/>
              <w:kern w:val="0"/>
              <w:sz w:val="22"/>
            </w:rPr>
            <w:t>东软集团股份有限公司</w:t>
          </w:r>
        </w:p>
        <w:p>
          <w:pPr>
            <w:pStyle w:val="6"/>
          </w:pPr>
          <w:r>
            <w:rPr>
              <w:rFonts w:hint="eastAsia"/>
              <w:szCs w:val="21"/>
              <w:lang w:val="en-US" w:eastAsia="zh-CN"/>
            </w:rPr>
            <w:t>15</w:t>
          </w:r>
          <w:r>
            <w:rPr>
              <w:rFonts w:hint="eastAsia"/>
              <w:szCs w:val="21"/>
            </w:rPr>
            <w:t>财务共享，助力管理会计体系构建</w:t>
          </w:r>
          <w:r>
            <w:ptab w:relativeTo="margin" w:alignment="right" w:leader="dot"/>
          </w:r>
          <w:r>
            <w:rPr>
              <w:rFonts w:hint="eastAsia" w:ascii="楷体" w:hAnsi="楷体" w:eastAsia="楷体"/>
            </w:rPr>
            <w:t>中国联合网络通信集团有限公司</w:t>
          </w:r>
        </w:p>
        <w:p>
          <w:pPr>
            <w:pStyle w:val="6"/>
          </w:pPr>
          <w:r>
            <w:rPr>
              <w:rFonts w:hint="eastAsia"/>
              <w:szCs w:val="21"/>
              <w:lang w:val="en-US" w:eastAsia="zh-CN"/>
            </w:rPr>
            <w:t>16</w:t>
          </w:r>
          <w:r>
            <w:rPr>
              <w:rFonts w:hint="eastAsia"/>
              <w:szCs w:val="21"/>
            </w:rPr>
            <w:t>搭建B</w:t>
          </w:r>
          <w:r>
            <w:rPr>
              <w:szCs w:val="21"/>
            </w:rPr>
            <w:t>2B</w:t>
          </w:r>
          <w:r>
            <w:rPr>
              <w:rFonts w:hint="eastAsia"/>
              <w:szCs w:val="21"/>
            </w:rPr>
            <w:t>交易平台实现业会协同促进管理转型</w:t>
          </w:r>
          <w:r>
            <w:ptab w:relativeTo="margin" w:alignment="right" w:leader="dot"/>
          </w:r>
          <w:r>
            <w:rPr>
              <w:rFonts w:hint="eastAsia" w:ascii="楷体" w:hAnsi="楷体" w:eastAsia="楷体"/>
              <w:szCs w:val="21"/>
            </w:rPr>
            <w:t>中国联合网络通信集团有限公司</w:t>
          </w:r>
        </w:p>
        <w:p>
          <w:pPr>
            <w:pStyle w:val="6"/>
            <w:rPr>
              <w:rFonts w:ascii="楷体" w:hAnsi="楷体" w:eastAsia="楷体"/>
            </w:rPr>
          </w:pPr>
          <w:r>
            <w:rPr>
              <w:rFonts w:hint="eastAsia"/>
              <w:szCs w:val="21"/>
              <w:lang w:val="en-US" w:eastAsia="zh-CN"/>
            </w:rPr>
            <w:t>17</w:t>
          </w:r>
          <w:r>
            <w:rPr>
              <w:rFonts w:hint="eastAsia"/>
              <w:szCs w:val="21"/>
            </w:rPr>
            <w:t>国际化企业基于共享服务的全球财务管理</w:t>
          </w:r>
          <w:r>
            <w:ptab w:relativeTo="margin" w:alignment="right" w:leader="dot"/>
          </w:r>
          <w:r>
            <w:rPr>
              <w:rFonts w:hint="eastAsia" w:ascii="楷体" w:hAnsi="楷体" w:eastAsia="楷体"/>
            </w:rPr>
            <w:t>中兴通讯股份有限公司</w:t>
          </w:r>
        </w:p>
        <w:p>
          <w:pPr>
            <w:pStyle w:val="6"/>
            <w:rPr>
              <w:rFonts w:ascii="楷体" w:hAnsi="楷体" w:eastAsia="楷体"/>
              <w:lang w:val="zh-CN"/>
            </w:rPr>
          </w:pPr>
          <w:r>
            <w:rPr>
              <w:rFonts w:hint="eastAsia"/>
              <w:szCs w:val="21"/>
              <w:lang w:val="en-US" w:eastAsia="zh-CN"/>
            </w:rPr>
            <w:t>18</w:t>
          </w:r>
          <w:bookmarkStart w:id="0" w:name="_GoBack"/>
          <w:bookmarkEnd w:id="0"/>
          <w:r>
            <w:rPr>
              <w:rFonts w:hint="eastAsia"/>
              <w:szCs w:val="21"/>
            </w:rPr>
            <w:t>从“有效值”到“全程利润”绩效考核实践</w:t>
          </w:r>
          <w:r>
            <w:ptab w:relativeTo="margin" w:alignment="right" w:leader="dot"/>
          </w:r>
          <w:r>
            <w:rPr>
              <w:rFonts w:hint="eastAsia" w:ascii="楷体" w:hAnsi="楷体" w:eastAsia="楷体"/>
              <w:szCs w:val="21"/>
            </w:rPr>
            <w:t>中兴通讯股份有限公司</w:t>
          </w:r>
        </w:p>
      </w:sdtContent>
    </w:sdt>
    <w:p>
      <w:pPr>
        <w:rPr>
          <w:lang w:val="zh-CN"/>
        </w:rPr>
      </w:pPr>
    </w:p>
    <w:p>
      <w:pPr>
        <w:ind w:firstLine="1440" w:firstLineChars="600"/>
        <w:rPr>
          <w:sz w:val="24"/>
          <w:szCs w:val="24"/>
        </w:rPr>
      </w:pPr>
      <w:r>
        <w:rPr>
          <w:rFonts w:hint="eastAsia"/>
          <w:sz w:val="24"/>
          <w:szCs w:val="24"/>
        </w:rPr>
        <w:t>单本购买连接                   批量购买链接</w:t>
      </w:r>
    </w:p>
    <w:p>
      <w:pPr>
        <w:jc w:val="center"/>
      </w:pPr>
      <w:r>
        <w:drawing>
          <wp:inline distT="0" distB="0" distL="114300" distR="114300">
            <wp:extent cx="2116455" cy="2232025"/>
            <wp:effectExtent l="0" t="0" r="4445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223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172335" cy="2243455"/>
            <wp:effectExtent l="0" t="0" r="12065" b="4445"/>
            <wp:docPr id="3" name="图片 3" descr="457735633808042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5773563380804299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032FC8"/>
    <w:rsid w:val="002B100A"/>
    <w:rsid w:val="002E12B5"/>
    <w:rsid w:val="003723AB"/>
    <w:rsid w:val="00471E00"/>
    <w:rsid w:val="004A7619"/>
    <w:rsid w:val="006C5139"/>
    <w:rsid w:val="007D5EDA"/>
    <w:rsid w:val="00D61048"/>
    <w:rsid w:val="00DE1555"/>
    <w:rsid w:val="00FB7E1F"/>
    <w:rsid w:val="04770BA3"/>
    <w:rsid w:val="0A170182"/>
    <w:rsid w:val="0AE90BBE"/>
    <w:rsid w:val="1F032FC8"/>
    <w:rsid w:val="2B543DB8"/>
    <w:rsid w:val="39D2341F"/>
    <w:rsid w:val="3DBC584C"/>
    <w:rsid w:val="3DD136B8"/>
    <w:rsid w:val="501B3247"/>
    <w:rsid w:val="51CD6CB3"/>
    <w:rsid w:val="56D227A1"/>
    <w:rsid w:val="5A1C25FF"/>
    <w:rsid w:val="644C586C"/>
    <w:rsid w:val="6F1B14C8"/>
    <w:rsid w:val="76A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2"/>
    <w:basedOn w:val="1"/>
    <w:next w:val="1"/>
    <w:qFormat/>
    <w:uiPriority w:val="0"/>
    <w:pPr>
      <w:widowControl/>
      <w:spacing w:after="100" w:line="259" w:lineRule="auto"/>
      <w:jc w:val="center"/>
    </w:pPr>
    <w:rPr>
      <w:rFonts w:cs="Times New Roman"/>
      <w:kern w:val="0"/>
      <w:sz w:val="22"/>
    </w:rPr>
  </w:style>
  <w:style w:type="paragraph" w:customStyle="1" w:styleId="9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10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563</Characters>
  <Lines>4</Lines>
  <Paragraphs>1</Paragraphs>
  <TotalTime>7</TotalTime>
  <ScaleCrop>false</ScaleCrop>
  <LinksUpToDate>false</LinksUpToDate>
  <CharactersWithSpaces>660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2018-03-07T07:23:00Z</dcterms:created>
  <dc:creator>~向阳花~</dc:creator>
  <cp:lastModifiedBy>史涵伟</cp:lastModifiedBy>
  <dcterms:modified xsi:type="dcterms:W3CDTF">2018-11-03T16:33:55Z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